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96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9F359B" w:rsidTr="00451759">
        <w:trPr>
          <w:jc w:val="right"/>
        </w:trPr>
        <w:tc>
          <w:tcPr>
            <w:tcW w:w="5778" w:type="dxa"/>
          </w:tcPr>
          <w:p w:rsidR="009F359B" w:rsidRDefault="009F359B" w:rsidP="0045175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</w:p>
        </w:tc>
      </w:tr>
      <w:tr w:rsidR="009F359B" w:rsidTr="00451759">
        <w:trPr>
          <w:jc w:val="right"/>
        </w:trPr>
        <w:tc>
          <w:tcPr>
            <w:tcW w:w="5778" w:type="dxa"/>
          </w:tcPr>
          <w:p w:rsidR="009F359B" w:rsidRDefault="009F359B" w:rsidP="0045175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приказу Государственного </w:t>
            </w:r>
          </w:p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9F359B" w:rsidTr="00451759">
        <w:trPr>
          <w:jc w:val="right"/>
        </w:trPr>
        <w:tc>
          <w:tcPr>
            <w:tcW w:w="5778" w:type="dxa"/>
          </w:tcPr>
          <w:p w:rsidR="009F359B" w:rsidRDefault="009F359B" w:rsidP="0045175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9F359B" w:rsidRDefault="00681120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19.07.2019  № 212</w:t>
            </w:r>
            <w:bookmarkStart w:id="0" w:name="_GoBack"/>
            <w:bookmarkEnd w:id="0"/>
          </w:p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59B" w:rsidRDefault="009F359B" w:rsidP="00451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:rsidR="009F359B" w:rsidRDefault="009F359B" w:rsidP="009F35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</w:p>
    <w:p w:rsidR="00E57B79" w:rsidRDefault="00FD695C" w:rsidP="00E5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о </w:t>
      </w:r>
      <w:r w:rsidR="00E57B79">
        <w:rPr>
          <w:rFonts w:ascii="Times New Roman" w:hAnsi="Times New Roman" w:cs="Times New Roman"/>
          <w:sz w:val="24"/>
          <w:szCs w:val="24"/>
        </w:rPr>
        <w:t>выполнении</w:t>
      </w:r>
      <w:r w:rsidR="00E57B79">
        <w:rPr>
          <w:rFonts w:ascii="Times New Roman" w:hAnsi="Times New Roman" w:cs="Times New Roman"/>
          <w:sz w:val="24"/>
          <w:szCs w:val="24"/>
        </w:rPr>
        <w:br/>
        <w:t>государственной (отраслевой, региональной) научно-технической программы</w:t>
      </w:r>
      <w:r w:rsidR="00E57B79">
        <w:rPr>
          <w:rFonts w:ascii="Times New Roman" w:hAnsi="Times New Roman" w:cs="Times New Roman"/>
          <w:sz w:val="24"/>
          <w:szCs w:val="24"/>
        </w:rPr>
        <w:br/>
        <w:t>(мероприятий по научному обеспечению государственной программы</w:t>
      </w:r>
      <w:r w:rsidR="00D224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57B79">
        <w:rPr>
          <w:rFonts w:ascii="Times New Roman" w:hAnsi="Times New Roman" w:cs="Times New Roman"/>
          <w:sz w:val="24"/>
          <w:szCs w:val="24"/>
        </w:rPr>
        <w:t>)</w:t>
      </w:r>
    </w:p>
    <w:p w:rsidR="00E57B79" w:rsidRDefault="00E57B79" w:rsidP="00E5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______________________________________________________________,</w:t>
      </w:r>
      <w:r>
        <w:rPr>
          <w:rFonts w:ascii="Times New Roman" w:hAnsi="Times New Roman" w:cs="Times New Roman"/>
          <w:sz w:val="24"/>
          <w:szCs w:val="24"/>
        </w:rPr>
        <w:br/>
      </w:r>
      <w:r w:rsidRPr="005C7216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</w:p>
    <w:p w:rsidR="00E57B79" w:rsidRDefault="00E57B79" w:rsidP="00E5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  <w:r w:rsidR="00D224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E57B79" w:rsidRDefault="00E57B79" w:rsidP="00E57B79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5C7216">
        <w:rPr>
          <w:rFonts w:ascii="Times New Roman" w:hAnsi="Times New Roman" w:cs="Times New Roman"/>
          <w:sz w:val="24"/>
          <w:szCs w:val="24"/>
        </w:rPr>
        <w:t xml:space="preserve">(краткое наименование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C7216">
        <w:rPr>
          <w:rFonts w:ascii="Times New Roman" w:hAnsi="Times New Roman" w:cs="Times New Roman"/>
          <w:sz w:val="24"/>
          <w:szCs w:val="24"/>
        </w:rPr>
        <w:t>программы)</w:t>
      </w:r>
    </w:p>
    <w:p w:rsidR="00FD695C" w:rsidRDefault="00FD695C" w:rsidP="00E57B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программы (подпрограммы), наименование и номер документа, которым утверждена программа (подпрограмма).</w:t>
      </w:r>
    </w:p>
    <w:p w:rsidR="00275BE2" w:rsidRDefault="00681F64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заказчик (ответственный заказчик).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Головная организация-исполнитель.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выполнения.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по плану и фактический (всего</w:t>
      </w:r>
      <w:r w:rsidR="008D2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источникам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заданий (мероприятий)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Р:</w:t>
      </w:r>
    </w:p>
    <w:p w:rsidR="00275BE2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всего: </w:t>
      </w:r>
    </w:p>
    <w:p w:rsidR="00275BE2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числе: </w:t>
      </w:r>
    </w:p>
    <w:p w:rsidR="00681F64" w:rsidRDefault="00681F64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выполненных;</w:t>
      </w:r>
    </w:p>
    <w:p w:rsidR="00681F64" w:rsidRDefault="00681F64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 невы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полненных в части этапов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 (указать номера заданий (мероприятий), причины невыполнения, принимаемые</w:t>
      </w:r>
      <w:r w:rsidR="005F0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по устранению отставания);</w:t>
      </w:r>
    </w:p>
    <w:p w:rsidR="00681F64" w:rsidRDefault="00681F64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7.4. новых заданий (мероприятий), внесенных в программу (подпрограмму) в отчетном году (полугодии) (указать номера заданий (мероприятий);</w:t>
      </w:r>
    </w:p>
    <w:p w:rsidR="005F0CF5" w:rsidRDefault="005F0CF5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7.5. </w:t>
      </w:r>
      <w:r w:rsidR="007170C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исключенных в отчетном году (полугодии) (указать номера заданий (мероприятий), причины исключения);</w:t>
      </w:r>
    </w:p>
    <w:p w:rsidR="007170CD" w:rsidRDefault="007170CD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7.6. приостановленных в отчетном году (полугодии) (указать номера заданий (мероприятий), причины, прогнозы о возобновлении работ);</w:t>
      </w:r>
    </w:p>
    <w:p w:rsidR="00275BE2" w:rsidRDefault="007170CD" w:rsidP="00135F09">
      <w:pPr>
        <w:widowControl w:val="0"/>
        <w:tabs>
          <w:tab w:val="left" w:pos="1134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7.7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завершенных в части НИОКТ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(указать номера заданий (мероприятий));   </w:t>
      </w:r>
    </w:p>
    <w:p w:rsidR="00275BE2" w:rsidRDefault="007170CD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7.8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>. планируемых к завершению в текущем году (заполняется при предоставлении полугодового отчета, указат</w:t>
      </w:r>
      <w:r w:rsidR="00CA0103">
        <w:rPr>
          <w:rFonts w:ascii="Times New Roman" w:eastAsia="Times New Roman" w:hAnsi="Times New Roman" w:cs="Times New Roman"/>
          <w:sz w:val="24"/>
          <w:szCs w:val="24"/>
          <w:lang w:eastAsia="ru-RU"/>
        </w:rPr>
        <w:t>ь номера заданий (мероприятий)).</w:t>
      </w:r>
    </w:p>
    <w:p w:rsidR="00275BE2" w:rsidRDefault="00A72C25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Организации-исполнители НИОКТ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(указать ведомственную принадлежность: организации НАН Беларуси, ВУЗы, организации отраслевой и другой подчиненности). 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заданий (мероприятий)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Р, в результате выполнения которых созданы наиболее значимые новшества</w:t>
      </w:r>
      <w:r w:rsidR="007170C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мирового уровня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(указать номера заданий (мероприятий), наименования организации-разработчика, уровень технологического уклада новшества, преимущества, уникальность, экспортоориентированность, импортозамещение и т.д.).</w:t>
      </w:r>
    </w:p>
    <w:p w:rsidR="00275BE2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полученных охранных документов на результат НТД, поданных заявок на получение охранных документов, заключенных лицензионных договоров (</w:t>
      </w:r>
      <w:r w:rsidR="008D25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лицензий) (указать номера заданий (мероприятий), наименование разработки, на которую получен охранный документ, подана заявка, заключен лицензионный договор, дату и номер документа).</w:t>
      </w:r>
    </w:p>
    <w:p w:rsidR="00275BE2" w:rsidRPr="003D2063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создании новых производств, модернизации, технической (технологической) подготовке действующих производств (указать номера заданий (мероприятий), организация, где проводились работы, какие новшества планируется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внедрять в результате проведенных работ). </w:t>
      </w:r>
    </w:p>
    <w:p w:rsidR="00F6503E" w:rsidRPr="003D2063" w:rsidRDefault="00275BE2" w:rsidP="00135F09">
      <w:pPr>
        <w:widowControl w:val="0"/>
        <w:numPr>
          <w:ilvl w:val="0"/>
          <w:numId w:val="2"/>
        </w:numPr>
        <w:tabs>
          <w:tab w:val="num" w:pos="0"/>
          <w:tab w:val="left" w:pos="1134"/>
        </w:tabs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F6503E"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(мероприятий) по выпуску продукции (внедрению инноваций):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12.1.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всего: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12.2.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выполненных </w:t>
      </w:r>
      <w:r w:rsidR="00F6503E"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установленным показателям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объеме (указать номера заданий (мероприятий));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12.3.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6503E"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достигших плановых показателей (выпуск продукции, внедрение инноваций осуществлялись)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номера заданий (мероприятий), причины невыполнения, принимаемые меры, ожидаемые сроки ликвидации отставания);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12.4.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выполненных </w:t>
      </w:r>
      <w:r w:rsidR="00F6503E"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(выпуск продукции, внедрение инноваций не осуществлялись)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(указать номера заданий (мероприятий), причины невыполнения, принимаемые меры, ожидаемые сроки ликвидации отставания). </w:t>
      </w:r>
    </w:p>
    <w:p w:rsidR="00275BE2" w:rsidRPr="003D2063" w:rsidRDefault="00DA097D" w:rsidP="00DA097D">
      <w:pPr>
        <w:widowControl w:val="0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275BE2"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объемах выпуска: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13.1. стоимость выпущенной продукции (предоставленных услуг) (в руб. и долл. США);</w:t>
      </w:r>
    </w:p>
    <w:p w:rsidR="00275BE2" w:rsidRPr="003D2063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стоимость реализованной продукции (</w:t>
      </w:r>
      <w:r w:rsidR="005E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предоставленных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(в руб. и долл. США);</w:t>
      </w:r>
    </w:p>
    <w:p w:rsidR="00275BE2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>13.3.</w:t>
      </w:r>
      <w:r w:rsidR="00717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об объемах реализации в Республике Беларусь (количество наименований и стоимость реализованной  продукции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(услуг) в руб. и долл. США);</w:t>
      </w:r>
    </w:p>
    <w:p w:rsidR="00275BE2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13.4. информацию об экспорте (количество наименований и стоимость реализованной на экспорт продукции (услуг) в руб. и долл. США, страна поставки).</w:t>
      </w:r>
    </w:p>
    <w:p w:rsidR="00275BE2" w:rsidRDefault="00DA097D" w:rsidP="00DA09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14. 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наиболее значимых заданий (мероприятий) по выпуску </w:t>
      </w:r>
      <w:r w:rsidR="00CA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продукции (внедрению 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инноваций) (указать номера заданий (мероприятий), наименования организации-разработчика, организации-изготовителя, уровень технологического уклада инновации, объем выпуска, стоимость, импортозамещение, экс</w:t>
      </w:r>
      <w:r w:rsidR="005E7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порт, </w:t>
      </w:r>
      <w:r w:rsidR="00CA010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75BE2" w:rsidRDefault="00DA097D" w:rsidP="005E79B8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внесенных изменениях (указать номера заданий (мероприятий), какие изменения внесены).</w:t>
      </w:r>
    </w:p>
    <w:p w:rsidR="00275BE2" w:rsidRPr="00DA097D" w:rsidRDefault="00275BE2" w:rsidP="00DA097D">
      <w:pPr>
        <w:pStyle w:val="ad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9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объеме бюджетных средств, подлежащих возврату (в руб</w:t>
      </w:r>
      <w:r w:rsidR="008D25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A097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275BE2" w:rsidRDefault="00275BE2" w:rsidP="00135F09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16.1. объем средств, подлежащих возврату по отдельным заданиям (мероприятиям) программы (подпрограммы) и всего по программе (подпрограмме);</w:t>
      </w:r>
    </w:p>
    <w:p w:rsidR="005E79B8" w:rsidRPr="005E79B8" w:rsidRDefault="005E79B8" w:rsidP="005E79B8">
      <w:pPr>
        <w:widowControl w:val="0"/>
        <w:tabs>
          <w:tab w:val="left" w:pos="1134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16.2. </w:t>
      </w:r>
      <w:r w:rsidRPr="005E79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возвращенных в бюджет (всего, в том числе за отчетный период), в том числе по источникам финансирования (отдельно по заданиям и по программе (подпрограмме) в целом).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AF3D07" w:rsidRPr="003A3CE3" w:rsidRDefault="00AF3D07" w:rsidP="00AF3D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CE3">
        <w:rPr>
          <w:rFonts w:ascii="Times New Roman" w:hAnsi="Times New Roman" w:cs="Times New Roman"/>
        </w:rPr>
        <w:t>Указывается в отчете о выполнении мероприятий по научному обеспечению государственной программы</w:t>
      </w:r>
      <w:r w:rsidR="008D25BB">
        <w:rPr>
          <w:rFonts w:ascii="Times New Roman" w:hAnsi="Times New Roman" w:cs="Times New Roman"/>
        </w:rPr>
        <w:t>.</w:t>
      </w:r>
    </w:p>
    <w:p w:rsidR="00AF3D07" w:rsidRPr="003A3CE3" w:rsidRDefault="00AF3D07" w:rsidP="00AF3D07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hAnsi="Times New Roman" w:cs="Times New Roman"/>
        </w:rPr>
      </w:pPr>
      <w:r w:rsidRPr="003A3CE3">
        <w:rPr>
          <w:rFonts w:ascii="Times New Roman" w:hAnsi="Times New Roman" w:cs="Times New Roman"/>
          <w:vertAlign w:val="superscript"/>
        </w:rPr>
        <w:t>2</w:t>
      </w:r>
      <w:r w:rsidRPr="003A3CE3">
        <w:rPr>
          <w:rFonts w:ascii="Times New Roman" w:hAnsi="Times New Roman" w:cs="Times New Roman"/>
        </w:rPr>
        <w:t xml:space="preserve"> Указывается в отчете по отдельной подпрограмме</w:t>
      </w:r>
      <w:r w:rsidR="008D25BB">
        <w:rPr>
          <w:rFonts w:ascii="Times New Roman" w:hAnsi="Times New Roman" w:cs="Times New Roman"/>
        </w:rPr>
        <w:t>.</w:t>
      </w:r>
    </w:p>
    <w:p w:rsidR="00AF3D07" w:rsidRDefault="00AF3D07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AF3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заполнению </w:t>
      </w:r>
      <w:r w:rsidR="00C805AB">
        <w:rPr>
          <w:rFonts w:ascii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</w:t>
      </w:r>
      <w:r w:rsidR="008D2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форме</w:t>
      </w:r>
      <w:r w:rsidRPr="00F67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детализированная информация уточняющего характера показателей, отраженных в форме </w:t>
      </w:r>
      <w:r w:rsidR="00F67A73" w:rsidRPr="00F67A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67A73" w:rsidRPr="00F67A73">
        <w:rPr>
          <w:rFonts w:ascii="Times New Roman" w:hAnsi="Times New Roman" w:cs="Times New Roman"/>
          <w:sz w:val="24"/>
          <w:szCs w:val="24"/>
        </w:rPr>
        <w:t>Сводная информация о выполнении государственной (отраслевой, региональной) научно-технической программы, мероприятий по научному обеспечению государственной программы</w:t>
      </w:r>
      <w:r w:rsidR="00F67A73" w:rsidRPr="00F67A7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67A7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другая запрашиваемая информация по результатам реализации программы (подпрограммы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Все пункты приложения обязательны для заполнения с описанием всех запрашиваемых сведений. В случае отсутствия информации по отдельным пунктам необходимо 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указать причину, по которой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не может быть представлена. 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опускается приведение информации по отдельным пунктам в форме таблицы. 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Информацию необходимо излагать кратко, 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запрашиваемому перечню сведений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Пункты 1 – 5 заполняются в соответствии с нормативным правовым актом, которым утверждена программа (подпрограмма).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В пункте 9 примеры приводятся в соответствии с полученными результатами по 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заданиям (мероприятиям), 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завершенным в части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 При отсутствии в отчетном периоде завершенных заданий (мероприятий), допускается в качестве значимых новшеств приводить примеры по итогам промежуточных резул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ьтатов выполнения этапов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Р, если промежуточный продукт имеет завершенную форму (определенный результат), может применяться в других проектах, выступать как отдельное новшество. Не допускается в качестве примеров перечислять все выполняющиеся в отчетный период задания (мероприятия).</w:t>
      </w:r>
    </w:p>
    <w:p w:rsidR="00541397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 пункте 12 (подпункты 12.2, 12.3 и 12.4) </w:t>
      </w:r>
      <w:r w:rsidR="00F6503E" w:rsidRPr="00F65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учитывается фактическое выполнение утвержденных целевых 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показателей по заданиям</w:t>
      </w:r>
      <w:r w:rsidR="00541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период.</w:t>
      </w:r>
    </w:p>
    <w:p w:rsidR="00275BE2" w:rsidRDefault="00275BE2" w:rsidP="00135F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Перевыполнение планов в предыдущие периоды (нарастающий итог) в анализируемом отчетном периоде не учитывается</w:t>
      </w:r>
      <w:r w:rsidR="00C80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учета перевыполнения должны быть в установленном порядке внесены изменения в задание)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5BE2" w:rsidRDefault="00275BE2" w:rsidP="009F35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 В пункте 15 отражается информация о </w:t>
      </w:r>
      <w:r w:rsidR="00EE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номерах заданий (мероприятий), а также локальных правовых актов, которыми в указанные задания внесены изменения. Учитываются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в части сроков выполнения заданий (этапов заданий, мероприя</w:t>
      </w:r>
      <w:r w:rsidR="00A72C2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тий, этапов мероприятий)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Р, объемов финансирования, сроков выполнения, плановых (целевых показателей) по выпуску (внедрению) вновь освоенной продукции (инноваций), организаций-исполнителей (изготовителей).</w:t>
      </w:r>
    </w:p>
    <w:sectPr w:rsidR="00275BE2" w:rsidSect="00B93992">
      <w:headerReference w:type="default" r:id="rId8"/>
      <w:pgSz w:w="16838" w:h="11906" w:orient="landscape"/>
      <w:pgMar w:top="567" w:right="1134" w:bottom="1701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A2" w:rsidRDefault="00512EA2" w:rsidP="00B93992">
      <w:pPr>
        <w:spacing w:after="0" w:line="240" w:lineRule="auto"/>
      </w:pPr>
      <w:r>
        <w:separator/>
      </w:r>
    </w:p>
  </w:endnote>
  <w:endnote w:type="continuationSeparator" w:id="0">
    <w:p w:rsidR="00512EA2" w:rsidRDefault="00512EA2" w:rsidP="00B93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A2" w:rsidRDefault="00512EA2" w:rsidP="00B93992">
      <w:pPr>
        <w:spacing w:after="0" w:line="240" w:lineRule="auto"/>
      </w:pPr>
      <w:r>
        <w:separator/>
      </w:r>
    </w:p>
  </w:footnote>
  <w:footnote w:type="continuationSeparator" w:id="0">
    <w:p w:rsidR="00512EA2" w:rsidRDefault="00512EA2" w:rsidP="00B93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078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3992" w:rsidRPr="00B93992" w:rsidRDefault="00B9399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39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39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39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112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939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3992" w:rsidRDefault="00B939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54"/>
    <w:rsid w:val="00000D9D"/>
    <w:rsid w:val="000033FE"/>
    <w:rsid w:val="000056DA"/>
    <w:rsid w:val="00040EF5"/>
    <w:rsid w:val="00050B6F"/>
    <w:rsid w:val="000546EA"/>
    <w:rsid w:val="00073515"/>
    <w:rsid w:val="000959C5"/>
    <w:rsid w:val="000B0DF7"/>
    <w:rsid w:val="000C3612"/>
    <w:rsid w:val="000E0DA2"/>
    <w:rsid w:val="000E5D10"/>
    <w:rsid w:val="000F1D27"/>
    <w:rsid w:val="00101270"/>
    <w:rsid w:val="001100FB"/>
    <w:rsid w:val="001134EA"/>
    <w:rsid w:val="00126E24"/>
    <w:rsid w:val="0013001D"/>
    <w:rsid w:val="00135F09"/>
    <w:rsid w:val="001369B5"/>
    <w:rsid w:val="00165DAC"/>
    <w:rsid w:val="001662C9"/>
    <w:rsid w:val="001675D2"/>
    <w:rsid w:val="00186FF3"/>
    <w:rsid w:val="00191B7B"/>
    <w:rsid w:val="001B1623"/>
    <w:rsid w:val="001B1FBF"/>
    <w:rsid w:val="001B60E6"/>
    <w:rsid w:val="001C6F1F"/>
    <w:rsid w:val="001C7B77"/>
    <w:rsid w:val="001E033D"/>
    <w:rsid w:val="001F1B16"/>
    <w:rsid w:val="001F78D7"/>
    <w:rsid w:val="00200001"/>
    <w:rsid w:val="0021184F"/>
    <w:rsid w:val="00216ED4"/>
    <w:rsid w:val="00232290"/>
    <w:rsid w:val="002378F5"/>
    <w:rsid w:val="00250383"/>
    <w:rsid w:val="00255DE7"/>
    <w:rsid w:val="002601BA"/>
    <w:rsid w:val="00261453"/>
    <w:rsid w:val="00275BE2"/>
    <w:rsid w:val="00280926"/>
    <w:rsid w:val="002825E6"/>
    <w:rsid w:val="00292DB9"/>
    <w:rsid w:val="002969F8"/>
    <w:rsid w:val="002B5E1C"/>
    <w:rsid w:val="002E5AF9"/>
    <w:rsid w:val="0031158E"/>
    <w:rsid w:val="00347238"/>
    <w:rsid w:val="00360A77"/>
    <w:rsid w:val="00371D15"/>
    <w:rsid w:val="00374784"/>
    <w:rsid w:val="00382F13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611EC"/>
    <w:rsid w:val="0047145B"/>
    <w:rsid w:val="00485450"/>
    <w:rsid w:val="00485592"/>
    <w:rsid w:val="004A4C95"/>
    <w:rsid w:val="004B6E85"/>
    <w:rsid w:val="004C0978"/>
    <w:rsid w:val="004C3322"/>
    <w:rsid w:val="004D44DB"/>
    <w:rsid w:val="004D52EB"/>
    <w:rsid w:val="004D7F40"/>
    <w:rsid w:val="00507B1A"/>
    <w:rsid w:val="00510296"/>
    <w:rsid w:val="00512EA2"/>
    <w:rsid w:val="00541397"/>
    <w:rsid w:val="00544D05"/>
    <w:rsid w:val="005477E7"/>
    <w:rsid w:val="005667B3"/>
    <w:rsid w:val="00570AFC"/>
    <w:rsid w:val="005832D0"/>
    <w:rsid w:val="005A6A8D"/>
    <w:rsid w:val="005B13BC"/>
    <w:rsid w:val="005C7216"/>
    <w:rsid w:val="005D5ED7"/>
    <w:rsid w:val="005E3FBD"/>
    <w:rsid w:val="005E79B8"/>
    <w:rsid w:val="005F0CF5"/>
    <w:rsid w:val="005F5B34"/>
    <w:rsid w:val="00626400"/>
    <w:rsid w:val="00632574"/>
    <w:rsid w:val="00644058"/>
    <w:rsid w:val="006537C0"/>
    <w:rsid w:val="00657994"/>
    <w:rsid w:val="00660055"/>
    <w:rsid w:val="006679DF"/>
    <w:rsid w:val="00667CDB"/>
    <w:rsid w:val="00674233"/>
    <w:rsid w:val="00680110"/>
    <w:rsid w:val="00681120"/>
    <w:rsid w:val="00681F64"/>
    <w:rsid w:val="00686AEC"/>
    <w:rsid w:val="006872BA"/>
    <w:rsid w:val="00692F12"/>
    <w:rsid w:val="006B3262"/>
    <w:rsid w:val="006B5C4F"/>
    <w:rsid w:val="006C28AA"/>
    <w:rsid w:val="006E541D"/>
    <w:rsid w:val="006F1BAB"/>
    <w:rsid w:val="007013D7"/>
    <w:rsid w:val="007170CD"/>
    <w:rsid w:val="00765CE1"/>
    <w:rsid w:val="00765E4F"/>
    <w:rsid w:val="00784AC9"/>
    <w:rsid w:val="007934CA"/>
    <w:rsid w:val="007A4D36"/>
    <w:rsid w:val="007B29B0"/>
    <w:rsid w:val="007C6A9D"/>
    <w:rsid w:val="007D71E2"/>
    <w:rsid w:val="007E34AB"/>
    <w:rsid w:val="007E370C"/>
    <w:rsid w:val="007F39B1"/>
    <w:rsid w:val="008346AE"/>
    <w:rsid w:val="008354B0"/>
    <w:rsid w:val="00836AEB"/>
    <w:rsid w:val="00841B27"/>
    <w:rsid w:val="00855164"/>
    <w:rsid w:val="00863967"/>
    <w:rsid w:val="00873983"/>
    <w:rsid w:val="008778F6"/>
    <w:rsid w:val="00893FAC"/>
    <w:rsid w:val="008B7CDB"/>
    <w:rsid w:val="008C642E"/>
    <w:rsid w:val="008D25BB"/>
    <w:rsid w:val="008E1697"/>
    <w:rsid w:val="008E1B51"/>
    <w:rsid w:val="008E3184"/>
    <w:rsid w:val="008E41C9"/>
    <w:rsid w:val="008F0EB5"/>
    <w:rsid w:val="0090455B"/>
    <w:rsid w:val="00906204"/>
    <w:rsid w:val="00923A5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C4D6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61BB"/>
    <w:rsid w:val="00A270AC"/>
    <w:rsid w:val="00A60EBD"/>
    <w:rsid w:val="00A647F6"/>
    <w:rsid w:val="00A72C25"/>
    <w:rsid w:val="00A822FE"/>
    <w:rsid w:val="00A93D2C"/>
    <w:rsid w:val="00A95609"/>
    <w:rsid w:val="00A97054"/>
    <w:rsid w:val="00AB2495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120F5"/>
    <w:rsid w:val="00B274C6"/>
    <w:rsid w:val="00B431C6"/>
    <w:rsid w:val="00B578FA"/>
    <w:rsid w:val="00B63C3D"/>
    <w:rsid w:val="00B66E15"/>
    <w:rsid w:val="00B718CD"/>
    <w:rsid w:val="00B75548"/>
    <w:rsid w:val="00B836B5"/>
    <w:rsid w:val="00B86A4C"/>
    <w:rsid w:val="00B93992"/>
    <w:rsid w:val="00BA4DEE"/>
    <w:rsid w:val="00BB28B3"/>
    <w:rsid w:val="00BC13AE"/>
    <w:rsid w:val="00BC56C4"/>
    <w:rsid w:val="00BE425F"/>
    <w:rsid w:val="00C055FB"/>
    <w:rsid w:val="00C102CE"/>
    <w:rsid w:val="00C1344B"/>
    <w:rsid w:val="00C143EC"/>
    <w:rsid w:val="00C274A8"/>
    <w:rsid w:val="00C33B5C"/>
    <w:rsid w:val="00C5649A"/>
    <w:rsid w:val="00C63EE8"/>
    <w:rsid w:val="00C70DA0"/>
    <w:rsid w:val="00C7377D"/>
    <w:rsid w:val="00C8018F"/>
    <w:rsid w:val="00C805AB"/>
    <w:rsid w:val="00C805B0"/>
    <w:rsid w:val="00C846D0"/>
    <w:rsid w:val="00C90B8F"/>
    <w:rsid w:val="00CA0103"/>
    <w:rsid w:val="00CA1BD1"/>
    <w:rsid w:val="00CA29AB"/>
    <w:rsid w:val="00CA6664"/>
    <w:rsid w:val="00CA7B8E"/>
    <w:rsid w:val="00CB5DF9"/>
    <w:rsid w:val="00CC1BE7"/>
    <w:rsid w:val="00D147E9"/>
    <w:rsid w:val="00D21D29"/>
    <w:rsid w:val="00D2240D"/>
    <w:rsid w:val="00D2386E"/>
    <w:rsid w:val="00D261C1"/>
    <w:rsid w:val="00D54DBC"/>
    <w:rsid w:val="00D767FB"/>
    <w:rsid w:val="00D8159B"/>
    <w:rsid w:val="00D904D7"/>
    <w:rsid w:val="00DA097D"/>
    <w:rsid w:val="00DA7CE7"/>
    <w:rsid w:val="00DB51AE"/>
    <w:rsid w:val="00DC5F83"/>
    <w:rsid w:val="00DE2A54"/>
    <w:rsid w:val="00DE4782"/>
    <w:rsid w:val="00DF4433"/>
    <w:rsid w:val="00DF4D49"/>
    <w:rsid w:val="00DF556A"/>
    <w:rsid w:val="00E156B0"/>
    <w:rsid w:val="00E17EA7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2A13"/>
    <w:rsid w:val="00E959B1"/>
    <w:rsid w:val="00EA10EE"/>
    <w:rsid w:val="00EB3B66"/>
    <w:rsid w:val="00EC1E43"/>
    <w:rsid w:val="00EC6757"/>
    <w:rsid w:val="00EE23E6"/>
    <w:rsid w:val="00EE617A"/>
    <w:rsid w:val="00EF4296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8</cp:revision>
  <cp:lastPrinted>2019-07-15T08:07:00Z</cp:lastPrinted>
  <dcterms:created xsi:type="dcterms:W3CDTF">2019-07-16T21:15:00Z</dcterms:created>
  <dcterms:modified xsi:type="dcterms:W3CDTF">2019-07-22T06:44:00Z</dcterms:modified>
</cp:coreProperties>
</file>